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СДК </w:t>
      </w:r>
      <w:r>
        <w:rPr>
          <w:rFonts w:ascii="Times New Roman" w:hAnsi="Times New Roman"/>
          <w:sz w:val="28"/>
          <w:szCs w:val="28"/>
        </w:rPr>
        <w:t xml:space="preserve">населенного пункта </w:t>
      </w:r>
      <w:r>
        <w:rPr>
          <w:rFonts w:ascii="Times New Roman" w:hAnsi="Times New Roman"/>
          <w:sz w:val="28"/>
          <w:szCs w:val="28"/>
        </w:rPr>
        <w:t xml:space="preserve">Шереметьевка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Шереметьевка,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по 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благоустройство мест природных выходов подземных вод (родники</w:t>
      </w:r>
      <w:r>
        <w:t xml:space="preserve">);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2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16</cp:revision>
  <dcterms:created xsi:type="dcterms:W3CDTF">2022-12-01T07:48:00Z</dcterms:created>
  <dcterms:modified xsi:type="dcterms:W3CDTF">2025-11-19T11:55:09Z</dcterms:modified>
</cp:coreProperties>
</file>